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tbl>
      <w:tblPr>
        <w:tblW w:w="5000" w:type="pct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420"/>
        <w:gridCol w:w="420"/>
        <w:gridCol w:w="420"/>
        <w:gridCol w:w="420"/>
        <w:gridCol w:w="420"/>
        <w:gridCol w:w="420"/>
        <w:gridCol w:w="420"/>
        <w:gridCol w:w="840"/>
        <w:gridCol w:w="420"/>
        <w:gridCol w:w="420"/>
        <w:gridCol w:w="840"/>
        <w:gridCol w:w="420"/>
        <w:gridCol w:w="420"/>
        <w:gridCol w:w="1680"/>
      </w:tblGrid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042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Mês Referência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06/2025</w:t>
            </w:r>
          </w:p>
        </w:tc>
        <w:tc>
          <w:tcPr>
            <w:tcW w:w="3958" w:type="pct"/>
            <w:gridSpan w:val="14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spacing w:before="20" w:after="20"/>
              <w:jc w:val="left"/>
            </w:pPr>
            <w: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spacing w:before="20" w:after="20"/>
                    <w:jc w:val="left"/>
                  </w:pPr>
                  <w:r>
                    <w:rPr>
                      <w:i/>
                      <w:iCs/>
                      <w:rtl w:val="0"/>
                    </w:rPr>
                    <w:t>As informações deste sumário estão atualizadas e referem-se ao mês em que ocorreram as últimas alterações dos acordos.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pStyle w:val="Heading2"/>
                    <w:bidi w:val="0"/>
                    <w:spacing w:after="280" w:afterAutospacing="1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rtl w:val="0"/>
                    </w:rPr>
                    <w:t>Prestadores de Serviços Essenciais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292" w:type="pct"/>
            <w:gridSpan w:val="7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Gestor de Recursos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IMPACTO INVESTIMENTOS LTDA.</w:t>
            </w:r>
          </w:p>
        </w:tc>
        <w:tc>
          <w:tcPr>
            <w:tcW w:w="2708" w:type="pct"/>
            <w:gridSpan w:val="8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CNPJ do Gestor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04.714.159/0001-29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292" w:type="pct"/>
            <w:gridSpan w:val="7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Administrador Fiduciário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SANTANDER CACEIS BRASIL DISTRIBUIDORA DE TÍTULOS E VALORES MOBILIÁRIOS S.A.</w:t>
            </w:r>
          </w:p>
        </w:tc>
        <w:tc>
          <w:tcPr>
            <w:tcW w:w="2708" w:type="pct"/>
            <w:gridSpan w:val="8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CNPJ do Administrador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62.318.407/0001-19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pStyle w:val="Heading2"/>
                    <w:bidi w:val="0"/>
                    <w:spacing w:after="280" w:afterAutospacing="1"/>
                    <w:jc w:val="center"/>
                  </w:pPr>
                  <w:r>
                    <w:rPr>
                      <w:rtl w:val="0"/>
                    </w:rPr>
                    <w:t>Características da Classe/Subclasse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500" w:type="pct"/>
            <w:gridSpan w:val="8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Fundo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IMPACTO VALUATION CLASSE DE INVESTIMENTO  EM AÇÕES - RESP LIMITADA</w:t>
            </w:r>
          </w:p>
        </w:tc>
        <w:tc>
          <w:tcPr>
            <w:tcW w:w="2500" w:type="pct"/>
            <w:gridSpan w:val="7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CNPJ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08.140.054/0001-64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875" w:type="pct"/>
            <w:gridSpan w:val="5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Público Alvo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Investidores em Geral</w:t>
            </w:r>
          </w:p>
        </w:tc>
        <w:tc>
          <w:tcPr>
            <w:tcW w:w="1458" w:type="pct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Categoria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FIF</w:t>
            </w:r>
          </w:p>
        </w:tc>
        <w:tc>
          <w:tcPr>
            <w:tcW w:w="1667" w:type="pct"/>
            <w:gridSpan w:val="4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Tipo de Classe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Classe de Ações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458" w:type="pct"/>
            <w:gridSpan w:val="3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CNPJ da Classe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458" w:type="pct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Nome da Classe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042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Possui Subclasse?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042" w:type="pct"/>
            <w:gridSpan w:val="2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Possui Cogestão?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pStyle w:val="Heading3"/>
                    <w:bidi w:val="0"/>
                    <w:spacing w:after="280" w:afterAutospacing="1"/>
                    <w:jc w:val="center"/>
                  </w:pPr>
                  <w:r>
                    <w:rPr>
                      <w:rtl w:val="0"/>
                    </w:rPr>
                    <w:t>Condições de Investimento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Taxa Global composta por: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Taxa de Administração</w:t>
              <w:br/>
              <w:t>Taxa de Gestão</w:t>
            </w:r>
          </w:p>
          <w:p>
            <w:pPr>
              <w:spacing w:before="0" w:after="0" w:line="120" w:lineRule="auto"/>
              <w:jc w:val="left"/>
            </w:pP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Forma de Remuneração  da Taxa Global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Percentual do PL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250" w:type="pct"/>
            <w:gridSpan w:val="2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% do PL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2,0000%</w:t>
            </w:r>
          </w:p>
        </w:tc>
        <w:tc>
          <w:tcPr>
            <w:tcW w:w="1250" w:type="pct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/>
        </w:tc>
        <w:tc>
          <w:tcPr>
            <w:tcW w:w="1250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/>
        </w:tc>
        <w:tc>
          <w:tcPr>
            <w:tcW w:w="1250" w:type="pct"/>
            <w:gridSpan w:val="3"/>
            <w:tcMar>
              <w:top w:w="0" w:type="dxa"/>
              <w:left w:w="58" w:type="dxa"/>
              <w:bottom w:w="0" w:type="dxa"/>
              <w:right w:w="72" w:type="dxa"/>
            </w:tcMar>
          </w:tcPr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Observação da Forma de Remuneração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458" w:type="pct"/>
            <w:gridSpan w:val="3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Possui Taxa de Performance?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Sim</w:t>
            </w:r>
          </w:p>
        </w:tc>
        <w:tc>
          <w:tcPr>
            <w:tcW w:w="1667" w:type="pct"/>
            <w:gridSpan w:val="7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Índice de Referência (Benchmark)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IBOVESPA</w:t>
            </w:r>
          </w:p>
        </w:tc>
        <w:tc>
          <w:tcPr>
            <w:tcW w:w="1875" w:type="pct"/>
            <w:gridSpan w:val="5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Descrição da Taxa de Performance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20% do que exceder 100% do Ibovespa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667" w:type="pct"/>
            <w:gridSpan w:val="4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Investimento Inicial Mínimo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R$ 5.000,00</w:t>
            </w:r>
          </w:p>
        </w:tc>
        <w:tc>
          <w:tcPr>
            <w:tcW w:w="1667" w:type="pct"/>
            <w:gridSpan w:val="7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Movimentação Mínima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R$ 1.000,00</w:t>
            </w:r>
          </w:p>
        </w:tc>
        <w:tc>
          <w:tcPr>
            <w:tcW w:w="1667" w:type="pct"/>
            <w:gridSpan w:val="4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Saldo Mínimo de Permanência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R$ 1.000,00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667" w:type="pct"/>
            <w:gridSpan w:val="4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Cotização da Aplicação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D0</w:t>
            </w:r>
          </w:p>
        </w:tc>
        <w:tc>
          <w:tcPr>
            <w:tcW w:w="1667" w:type="pct"/>
            <w:gridSpan w:val="7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Cotização de Resgate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D1</w:t>
            </w:r>
          </w:p>
        </w:tc>
        <w:tc>
          <w:tcPr>
            <w:tcW w:w="1667" w:type="pct"/>
            <w:gridSpan w:val="4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Pagamento de Resgate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D3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042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Cobra Taxa de Saída?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042" w:type="pct"/>
            <w:gridSpan w:val="5"/>
            <w:tcMar>
              <w:top w:w="0" w:type="dxa"/>
              <w:left w:w="58" w:type="dxa"/>
              <w:bottom w:w="0" w:type="dxa"/>
              <w:right w:w="58" w:type="dxa"/>
            </w:tcMar>
          </w:tcPr>
          <w:p/>
        </w:tc>
        <w:tc>
          <w:tcPr>
            <w:tcW w:w="1042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Possui Carência para Resgate?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042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/>
        </w:tc>
        <w:tc>
          <w:tcPr>
            <w:tcW w:w="833" w:type="pct"/>
            <w:tcMar>
              <w:top w:w="0" w:type="dxa"/>
              <w:left w:w="58" w:type="dxa"/>
              <w:bottom w:w="0" w:type="dxa"/>
              <w:right w:w="72" w:type="dxa"/>
            </w:tcMar>
          </w:tcPr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250" w:type="pct"/>
            <w:gridSpan w:val="2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Prevê uso de Side Pocket?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250" w:type="pct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Prevê Aplicação ou Resgate em Ativos?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250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Prevê Barreira aos Resgates?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250" w:type="pct"/>
            <w:gridSpan w:val="3"/>
            <w:tcMar>
              <w:top w:w="0" w:type="dxa"/>
              <w:left w:w="58" w:type="dxa"/>
              <w:bottom w:w="0" w:type="dxa"/>
              <w:right w:w="72" w:type="dxa"/>
            </w:tcMar>
          </w:tcPr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gridSpan w:val="2"/>
            <w:tcMar>
              <w:top w:w="0" w:type="dxa"/>
              <w:left w:w="72" w:type="dxa"/>
              <w:bottom w:w="0" w:type="dxa"/>
              <w:right w:w="58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0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spacing w:before="120" w:after="120"/>
                    <w:jc w:val="left"/>
                  </w:pPr>
                  <w:r>
                    <w:rPr>
                      <w:i/>
                      <w:iCs/>
                      <w:rtl w:val="0"/>
                    </w:rPr>
                    <w:t>Side Pocket: cisão da parcela excepcionalmente ilíquida dos ativos da classe</w:t>
                  </w:r>
                </w:p>
              </w:tc>
            </w:tr>
          </w:tbl>
          <w:p/>
        </w:tc>
        <w:tc>
          <w:tcPr>
            <w:tcW w:w="3750" w:type="pct"/>
            <w:gridSpan w:val="13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spacing w:before="20" w:after="20"/>
              <w:jc w:val="left"/>
            </w:pPr>
            <w: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Outras Observações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i/>
                      <w:iCs/>
                      <w:rtl w:val="0"/>
                      <w:lang w:val="pt-BR" w:eastAsia="pt-BR"/>
                    </w:rPr>
                    <w:t>1 - O conteúdo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d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este "Sumário de Remuneração dos Prestadores de Serviços"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reflete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as informações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 mais atualizad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a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s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. Eventuais alterações e novos acordos comerciais estabelecidos serão refletidos neste documento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minimamente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até o 5º (quinto) dia útil do mês subsequente a sua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celebração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.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Para mais informações sobre o produto, leia o regulamento, anexo ou apêndice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do fundo.</w:t>
                  </w:r>
                  <w:r>
                    <w:rPr>
                      <w:i/>
                      <w:iCs/>
                      <w:rtl w:val="0"/>
                    </w:rPr>
                    <w:t> </w:t>
                  </w:r>
                </w:p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rtl w:val="0"/>
                    </w:rPr>
                    <w:t> </w:t>
                  </w:r>
                </w:p>
              </w:tc>
            </w:tr>
          </w:tbl>
          <w:p/>
        </w:tc>
      </w:tr>
    </w:tbl>
    <w:tbl>
      <w:tblPr>
        <w:tblW w:w="5000" w:type="pct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0"/>
        <w:gridCol w:w="4620"/>
      </w:tblGrid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pStyle w:val="Heading2"/>
                    <w:bidi w:val="0"/>
                    <w:spacing w:after="280" w:afterAutospacing="1"/>
                  </w:pPr>
                  <w:r>
                    <w:rPr>
                      <w:b/>
                      <w:bCs/>
                      <w:rtl w:val="0"/>
                    </w:rPr>
                    <w:t>Taxa de Administração Fiduciária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Forma de Remuneração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Percentual do PL</w:t>
            </w:r>
          </w:p>
          <w:p>
            <w:pPr>
              <w:spacing w:before="0" w:after="0" w:line="120" w:lineRule="auto"/>
              <w:jc w:val="left"/>
            </w:pP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708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Percentual do PL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0,1000%</w:t>
            </w:r>
          </w:p>
        </w:tc>
        <w:tc>
          <w:tcPr>
            <w:tcW w:w="2292" w:type="pct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Forma de pagamento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Parcela da Taxa Global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i/>
                      <w:iCs/>
                      <w:rtl w:val="0"/>
                    </w:rPr>
                    <w:t>As taxas desse sumário estão expressas ao ano.</w:t>
                  </w:r>
                </w:p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rtl w:val="0"/>
                    </w:rPr>
                    <w:t> 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Outras Observações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</w:tbl>
    <w:tbl>
      <w:tblPr>
        <w:tblW w:w="5000" w:type="pct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520"/>
        <w:gridCol w:w="2520"/>
        <w:gridCol w:w="2520"/>
      </w:tblGrid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4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Heading3"/>
              <w:spacing w:before="120"/>
              <w:jc w:val="left"/>
            </w:pPr>
            <w:r>
              <w:t>Lista de Distribuidores Contratados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Heading3"/>
                    <w:spacing w:before="120"/>
                    <w:jc w:val="left"/>
                  </w:pPr>
                  <w:r>
                    <w:t>Sem título</w:t>
                  </w:r>
                </w:p>
                <w:tbl>
                  <w:tblPr>
                    <w:tblStyle w:val="HeaderRowTable"/>
                    <w:tblW w:w="5000" w:type="pct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20"/>
                  </w:tblPr>
                  <w:tblGrid>
                    <w:gridCol w:w="4968"/>
                    <w:gridCol w:w="4968"/>
                  </w:tblGrid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420"/>
                    </w:tblPrEx>
                    <w:trPr>
                      <w:tblCellSpacing w:w="0" w:type="dxa"/>
                    </w:trPr>
                    <w:tc>
                      <w:tcPr>
                        <w:tcW w:w="2500" w:type="pct"/>
                        <w:tcBorders>
                          <w:bottom w:val="single" w:sz="8" w:space="0" w:color="808080"/>
                        </w:tcBorders>
                        <w:tcMar>
                          <w:top w:w="0" w:type="dxa"/>
                          <w:left w:w="72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pStyle w:val="Label"/>
                          <w:spacing w:after="20"/>
                          <w:jc w:val="left"/>
                        </w:pPr>
                        <w:r>
                          <w:t>CNPJ</w:t>
                        </w:r>
                      </w:p>
                    </w:tc>
                    <w:tc>
                      <w:tcPr>
                        <w:tcW w:w="2500" w:type="pct"/>
                        <w:tcBorders>
                          <w:bottom w:val="single" w:sz="8" w:space="0" w:color="808080"/>
                        </w:tcBorders>
                        <w:tcMar>
                          <w:top w:w="0" w:type="dxa"/>
                          <w:left w:w="58" w:type="dxa"/>
                          <w:bottom w:w="0" w:type="dxa"/>
                          <w:right w:w="72" w:type="dxa"/>
                        </w:tcMar>
                      </w:tcPr>
                      <w:p>
                        <w:pPr>
                          <w:pStyle w:val="Label"/>
                          <w:spacing w:after="20"/>
                          <w:jc w:val="left"/>
                        </w:pPr>
                        <w:r>
                          <w:t>Distribuidor</w:t>
                        </w: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420"/>
                    </w:tblPrEx>
                    <w:trPr>
                      <w:hidden/>
                      <w:tblCellSpacing w:w="0" w:type="dxa"/>
                    </w:trPr>
                    <w:tc>
                      <w:tcPr>
                        <w:tcW w:w="2500" w:type="pct"/>
                        <w:tcMar>
                          <w:top w:w="0" w:type="dxa"/>
                          <w:left w:w="72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spacing w:before="12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30.306.294/0001-45</w:t>
                        </w:r>
                      </w:p>
                    </w:tc>
                    <w:tc>
                      <w:tcPr>
                        <w:tcW w:w="2500" w:type="pct"/>
                        <w:tcMar>
                          <w:top w:w="0" w:type="dxa"/>
                          <w:left w:w="58" w:type="dxa"/>
                          <w:bottom w:w="0" w:type="dxa"/>
                          <w:right w:w="72" w:type="dxa"/>
                        </w:tcMar>
                      </w:tcPr>
                      <w:p>
                        <w:pPr>
                          <w:spacing w:before="12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BANCO BTG PACTUAL S.A.</w:t>
                        </w: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420"/>
                    </w:tblPrEx>
                    <w:trPr>
                      <w:hidden/>
                      <w:tblCellSpacing w:w="0" w:type="dxa"/>
                    </w:trPr>
                    <w:tc>
                      <w:tcPr>
                        <w:tcW w:w="2500" w:type="pct"/>
                        <w:tcMar>
                          <w:top w:w="0" w:type="dxa"/>
                          <w:left w:w="72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spacing w:before="12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18.945.670/0001-46</w:t>
                        </w:r>
                      </w:p>
                    </w:tc>
                    <w:tc>
                      <w:tcPr>
                        <w:tcW w:w="2500" w:type="pct"/>
                        <w:tcMar>
                          <w:top w:w="0" w:type="dxa"/>
                          <w:left w:w="58" w:type="dxa"/>
                          <w:bottom w:w="0" w:type="dxa"/>
                          <w:right w:w="72" w:type="dxa"/>
                        </w:tcMar>
                      </w:tcPr>
                      <w:p>
                        <w:pPr>
                          <w:spacing w:before="12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INTER DISTRIBUIDORA DE TÍTULOS E VALORES MOBILIÁRIOS LTDA.</w:t>
                        </w: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420"/>
                    </w:tblPrEx>
                    <w:trPr>
                      <w:hidden/>
                      <w:tblCellSpacing w:w="0" w:type="dxa"/>
                    </w:trPr>
                    <w:tc>
                      <w:tcPr>
                        <w:tcW w:w="2500" w:type="pct"/>
                        <w:tcMar>
                          <w:top w:w="0" w:type="dxa"/>
                          <w:left w:w="72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spacing w:before="12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02.332.886/0001-04</w:t>
                        </w:r>
                      </w:p>
                    </w:tc>
                    <w:tc>
                      <w:tcPr>
                        <w:tcW w:w="2500" w:type="pct"/>
                        <w:tcMar>
                          <w:top w:w="0" w:type="dxa"/>
                          <w:left w:w="58" w:type="dxa"/>
                          <w:bottom w:w="0" w:type="dxa"/>
                          <w:right w:w="72" w:type="dxa"/>
                        </w:tcMar>
                      </w:tcPr>
                      <w:p>
                        <w:pPr>
                          <w:spacing w:before="12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XP INVESTIMENTOS CORRETORA DE CÂMBIO, TÍTULOS E VALORES MOBILIÁRIOS S.A.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4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Heading3"/>
              <w:spacing w:before="120"/>
              <w:jc w:val="left"/>
            </w:pPr>
            <w:r>
              <w:t>Acordos Comerciais Entre o Gestor e os Distribuidores</w:t>
            </w:r>
          </w:p>
          <w:tbl>
            <w:tblPr>
              <w:tblStyle w:val="NestedTable1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00"/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400"/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>
                  <w:pPr>
                    <w:pStyle w:val="Heading4"/>
                    <w:spacing w:before="120"/>
                    <w:jc w:val="left"/>
                  </w:pPr>
                  <w:r>
                    <w:t>Acordo Comercial</w:t>
                  </w:r>
                  <w: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 w:val="0"/>
                      <w:i w:val="0"/>
                      <w:iCs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000000"/>
                      <w:spacing w:val="0"/>
                      <w:w w:val="100"/>
                      <w:kern w:val="0"/>
                      <w:position w:val="0"/>
                      <w:sz w:val="27"/>
                      <w:szCs w:val="22"/>
                      <w:highlight w:val="none"/>
                      <w:u w:val="none" w:color="auto"/>
                      <w:effect w:val="none"/>
                      <w:bdr w:val="nil"/>
                      <w:shd w:val="clear" w:color="auto" w:fill="auto"/>
                      <w:rtl w:val="0"/>
                      <w:cs w:val="0"/>
                      <w:lang w:val="en-US" w:eastAsia="en-US" w:bidi="ar-SA"/>
                    </w:rPr>
                    <w:t>1</w:t>
                  </w: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64"/>
                    <w:gridCol w:w="3264"/>
                    <w:gridCol w:w="3264"/>
                  </w:tblGrid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Forma de Remuneração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  <w:p>
                        <w:pPr>
                          <w:spacing w:before="0" w:after="0" w:line="120" w:lineRule="auto"/>
                          <w:jc w:val="left"/>
                        </w:pP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1667" w:type="pct"/>
                        <w:tcMar>
                          <w:top w:w="0" w:type="dxa"/>
                          <w:left w:w="0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Distribuidor Recebe Parcela da Taxa de Performance?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Não</w:t>
                        </w:r>
                      </w:p>
                    </w:tc>
                    <w:tc>
                      <w:tcPr>
                        <w:tcW w:w="1667" w:type="pct"/>
                        <w:tcMar>
                          <w:top w:w="0" w:type="dxa"/>
                          <w:left w:w="58" w:type="dxa"/>
                          <w:bottom w:w="0" w:type="dxa"/>
                          <w:right w:w="58" w:type="dxa"/>
                        </w:tcMar>
                      </w:tcPr>
                      <w:p/>
                    </w:tc>
                    <w:tc>
                      <w:tcPr>
                        <w:tcW w:w="1667" w:type="pct"/>
                        <w:tcMar>
                          <w:top w:w="0" w:type="dxa"/>
                          <w:left w:w="58" w:type="dxa"/>
                          <w:bottom w:w="0" w:type="dxa"/>
                          <w:right w:w="0" w:type="dxa"/>
                        </w:tcMar>
                      </w:tcPr>
                      <w:p/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Outras Receitas Recebidas Pelo Distribuidor Pagas Diretamente Pelos Essenciais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Condições Complentares Sobre a Forma de Remuneração do Distribuidor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Outras Observações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4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i/>
                      <w:iCs/>
                      <w:rtl w:val="0"/>
                    </w:rPr>
                    <w:t>As taxas desse sumário estão expressas ao ano.</w:t>
                  </w:r>
                </w:p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rtl w:val="0"/>
                    </w:rPr>
                    <w:t> 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250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Email Obrigatório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impacto@impactoinvestimentos.com.br</w:t>
            </w:r>
          </w:p>
        </w:tc>
        <w:tc>
          <w:tcPr>
            <w:tcW w:w="1250" w:type="pct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Email Opcional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250" w:type="pct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Email Opcional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250" w:type="pct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Email Opcional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</w:tbl>
    <w:p/>
    <w:sectPr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5E4"/>
    <w:pPr>
      <w:keepNext w:val="0"/>
      <w:keepLines w:val="0"/>
      <w:spacing w:before="0" w:after="120" w:line="240" w:lineRule="auto"/>
      <w:jc w:val="left"/>
    </w:pPr>
    <w:rPr>
      <w:rFonts w:ascii="Arial" w:eastAsia="Arial" w:hAnsi="Arial" w:cs="Arial"/>
      <w:b w:val="0"/>
      <w:i w:val="0"/>
      <w:color w:val="000000"/>
      <w:sz w:val="21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34"/>
    <w:pPr>
      <w:keepNext w:val="0"/>
      <w:keepLines/>
      <w:spacing w:before="0" w:after="0"/>
      <w:jc w:val="left"/>
      <w:outlineLvl w:val="0"/>
    </w:pPr>
    <w:rPr>
      <w:rFonts w:ascii="Arial" w:eastAsia="Arial" w:hAnsi="Arial" w:eastAsiaTheme="majorEastAsia" w:cs="Arial" w:cstheme="majorBidi"/>
      <w:b/>
      <w:i w:val="0"/>
      <w:color w:val="000000"/>
      <w:sz w:val="42"/>
      <w:szCs w:val="32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F34"/>
    <w:pPr>
      <w:keepNext w:val="0"/>
      <w:keepLines/>
      <w:spacing w:before="0" w:after="0"/>
      <w:jc w:val="left"/>
      <w:outlineLvl w:val="1"/>
    </w:pPr>
    <w:rPr>
      <w:rFonts w:ascii="Arial" w:eastAsia="Arial" w:hAnsi="Arial" w:eastAsiaTheme="majorEastAsia" w:cs="Arial" w:cstheme="majorBidi"/>
      <w:b/>
      <w:i w:val="0"/>
      <w:color w:val="000000"/>
      <w:sz w:val="38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F34"/>
    <w:pPr>
      <w:keepNext w:val="0"/>
      <w:keepLines/>
      <w:spacing w:before="0" w:after="0"/>
      <w:jc w:val="left"/>
      <w:outlineLvl w:val="2"/>
    </w:pPr>
    <w:rPr>
      <w:rFonts w:ascii="Arial" w:eastAsia="Arial" w:hAnsi="Arial" w:eastAsiaTheme="majorEastAsia" w:cs="Arial" w:cstheme="majorBidi"/>
      <w:b/>
      <w:i w:val="0"/>
      <w:color w:val="000000"/>
      <w:sz w:val="32"/>
      <w:szCs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F34"/>
    <w:pPr>
      <w:keepNext w:val="0"/>
      <w:keepLines/>
      <w:spacing w:before="0" w:after="0"/>
      <w:jc w:val="left"/>
      <w:outlineLvl w:val="3"/>
    </w:pPr>
    <w:rPr>
      <w:rFonts w:ascii="Arial" w:eastAsia="Arial" w:hAnsi="Arial" w:eastAsiaTheme="majorEastAsia" w:cs="Arial" w:cstheme="majorBidi"/>
      <w:b/>
      <w:i w:val="0"/>
      <w:iCs/>
      <w:color w:val="000000"/>
      <w:sz w:val="27"/>
      <w:u w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3F34"/>
    <w:pPr>
      <w:keepNext w:val="0"/>
      <w:keepLines/>
      <w:spacing w:before="0" w:after="0"/>
      <w:jc w:val="left"/>
      <w:outlineLvl w:val="4"/>
    </w:pPr>
    <w:rPr>
      <w:rFonts w:ascii="Arial" w:eastAsia="Arial" w:hAnsi="Arial" w:eastAsiaTheme="majorEastAsia" w:cs="Arial" w:cstheme="majorBidi"/>
      <w:b/>
      <w:i w:val="0"/>
      <w:color w:val="000000"/>
      <w:sz w:val="25"/>
      <w:u w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3F34"/>
    <w:pPr>
      <w:keepNext w:val="0"/>
      <w:keepLines/>
      <w:spacing w:before="0" w:after="0"/>
      <w:jc w:val="left"/>
      <w:outlineLvl w:val="5"/>
    </w:pPr>
    <w:rPr>
      <w:rFonts w:ascii="Arial" w:eastAsia="Arial" w:hAnsi="Arial" w:eastAsiaTheme="majorEastAsia" w:cs="Arial" w:cstheme="majorBidi"/>
      <w:b/>
      <w:i w:val="0"/>
      <w:color w:val="000000"/>
      <w:sz w:val="23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stedTable1">
    <w:name w:val="Nested Table 1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F5F5F5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114FB"/>
    <w:pPr>
      <w:keepNext w:val="0"/>
      <w:keepLines w:val="0"/>
      <w:spacing w:before="0" w:after="0"/>
      <w:contextualSpacing/>
      <w:jc w:val="left"/>
    </w:pPr>
    <w:rPr>
      <w:rFonts w:ascii="Arial" w:eastAsia="Arial" w:hAnsi="Arial" w:eastAsiaTheme="majorEastAsia" w:cs="Arial" w:cstheme="majorBidi"/>
      <w:b/>
      <w:i w:val="0"/>
      <w:color w:val="000000"/>
      <w:spacing w:val="-10"/>
      <w:kern w:val="28"/>
      <w:sz w:val="74"/>
      <w:szCs w:val="56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2114FB"/>
    <w:rPr>
      <w:rFonts w:ascii="Arial" w:hAnsi="Arial"/>
      <w:b/>
      <w:spacing w:val="-10"/>
      <w:kern w:val="28"/>
      <w:sz w:val="7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3F34"/>
    <w:rPr>
      <w:rFonts w:ascii="Arial" w:hAnsi="Arial"/>
      <w:b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3F34"/>
    <w:rPr>
      <w:rFonts w:ascii="Arial" w:hAnsi="Arial"/>
      <w:b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F34"/>
    <w:rPr>
      <w:rFonts w:ascii="Arial" w:hAnsi="Arial"/>
      <w:b/>
      <w:sz w:val="3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14FB"/>
    <w:pPr>
      <w:keepNext w:val="0"/>
      <w:keepLines w:val="0"/>
      <w:spacing w:before="200" w:after="120"/>
      <w:ind w:left="864" w:right="864"/>
      <w:jc w:val="left"/>
    </w:pPr>
    <w:rPr>
      <w:rFonts w:ascii="Arial" w:eastAsia="Arial" w:hAnsi="Arial" w:cs="Arial"/>
      <w:b w:val="0"/>
      <w:i/>
      <w:iCs/>
      <w:color w:val="000000"/>
      <w:sz w:val="21"/>
      <w:u w:val="none"/>
    </w:rPr>
  </w:style>
  <w:style w:type="character" w:customStyle="1" w:styleId="QuoteChar">
    <w:name w:val="Quote Char"/>
    <w:basedOn w:val="DefaultParagraphFont"/>
    <w:link w:val="Quote"/>
    <w:uiPriority w:val="29"/>
    <w:rsid w:val="002114FB"/>
    <w:rPr>
      <w:rFonts w:ascii="Arial" w:hAnsi="Arial"/>
      <w:i/>
      <w:iCs/>
      <w:sz w:val="21"/>
    </w:rPr>
  </w:style>
  <w:style w:type="paragraph" w:customStyle="1" w:styleId="Label">
    <w:name w:val="Label"/>
    <w:basedOn w:val="Normal"/>
    <w:link w:val="LabelChar"/>
    <w:qFormat/>
    <w:rsid w:val="002A05E4"/>
    <w:pPr>
      <w:keepNext w:val="0"/>
      <w:keepLines w:val="0"/>
      <w:spacing w:before="120" w:after="0" w:line="240" w:lineRule="auto"/>
      <w:jc w:val="left"/>
    </w:pPr>
    <w:rPr>
      <w:rFonts w:ascii="Arial" w:eastAsia="Arial" w:hAnsi="Arial" w:cs="Arial"/>
      <w:b/>
      <w:i w:val="0"/>
      <w:color w:val="000000"/>
      <w:sz w:val="21"/>
      <w:u w:val="none"/>
    </w:rPr>
  </w:style>
  <w:style w:type="character" w:customStyle="1" w:styleId="LabelChar">
    <w:name w:val="Label Char"/>
    <w:basedOn w:val="DefaultParagraphFont"/>
    <w:link w:val="Label"/>
    <w:rsid w:val="002A05E4"/>
    <w:rPr>
      <w:rFonts w:ascii="Arial" w:hAnsi="Arial"/>
      <w:b/>
      <w:sz w:val="21"/>
    </w:rPr>
  </w:style>
  <w:style w:type="table" w:customStyle="1" w:styleId="NestedTable2">
    <w:name w:val="Nested Table 2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BEBEB"/>
      </w:tcPr>
    </w:tblStylePr>
  </w:style>
  <w:style w:type="table" w:customStyle="1" w:styleId="NestedTable3">
    <w:name w:val="Nested Table 3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2E2E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3F34"/>
    <w:rPr>
      <w:rFonts w:ascii="Arial" w:hAnsi="Arial"/>
      <w:b/>
      <w:iCs/>
      <w:sz w:val="28"/>
    </w:rPr>
  </w:style>
  <w:style w:type="paragraph" w:customStyle="1" w:styleId="Total">
    <w:name w:val="Total"/>
    <w:basedOn w:val="Heading3"/>
    <w:link w:val="TotalChar"/>
    <w:qFormat/>
    <w:rsid w:val="00D000E5"/>
    <w:pPr>
      <w:keepNext w:val="0"/>
      <w:keepLines/>
      <w:spacing w:before="0" w:after="120"/>
      <w:jc w:val="left"/>
    </w:pPr>
    <w:rPr>
      <w:rFonts w:ascii="Arial" w:eastAsia="Arial" w:hAnsi="Arial" w:cs="Arial"/>
      <w:b/>
      <w:i w:val="0"/>
      <w:color w:val="000000"/>
      <w:sz w:val="32"/>
      <w:u w:val="none"/>
    </w:rPr>
  </w:style>
  <w:style w:type="character" w:customStyle="1" w:styleId="TotalChar">
    <w:name w:val="Total Char"/>
    <w:basedOn w:val="Heading3Char"/>
    <w:link w:val="Total"/>
    <w:rsid w:val="00D000E5"/>
    <w:rPr>
      <w:rFonts w:ascii="Arial" w:hAnsi="Arial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3F34"/>
    <w:rPr>
      <w:rFonts w:ascii="Arial" w:hAnsi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03F34"/>
    <w:rPr>
      <w:rFonts w:ascii="Arial" w:hAnsi="Arial"/>
      <w:b/>
      <w:sz w:val="24"/>
    </w:rPr>
  </w:style>
  <w:style w:type="table" w:customStyle="1" w:styleId="HeaderRowTable">
    <w:name w:val="Header Row Table"/>
    <w:basedOn w:val="NestedTable1"/>
    <w:uiPriority w:val="99"/>
    <w:rsid w:val="00B1398C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5F5F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F009-3828-483D-B8AE-03CA8261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VC3, Inc.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Cognito Forms</dc:creator>
  <cp:lastModifiedBy>Cognito Forms</cp:lastModifiedBy>
  <cp:revision>28</cp:revision>
  <dcterms:created xsi:type="dcterms:W3CDTF">2024-11-26T11:48:28Z</dcterms:created>
  <dcterms:modified xsi:type="dcterms:W3CDTF">2024-11-26T11:48:28Z</dcterms:modified>
</cp:coreProperties>
</file>