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420"/>
        <w:gridCol w:w="420"/>
        <w:gridCol w:w="420"/>
        <w:gridCol w:w="420"/>
        <w:gridCol w:w="420"/>
        <w:gridCol w:w="420"/>
        <w:gridCol w:w="420"/>
        <w:gridCol w:w="840"/>
        <w:gridCol w:w="420"/>
        <w:gridCol w:w="420"/>
        <w:gridCol w:w="840"/>
        <w:gridCol w:w="420"/>
        <w:gridCol w:w="420"/>
        <w:gridCol w:w="168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Mês Referência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06/2025</w:t>
            </w:r>
          </w:p>
        </w:tc>
        <w:tc>
          <w:tcPr>
            <w:tcW w:w="3958" w:type="pct"/>
            <w:gridSpan w:val="1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20" w:after="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informações deste sumário estão atualizadas e referem-se ao mês em que ocorreram as últimas alterações dos acordos.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rtl w:val="0"/>
                    </w:rPr>
                    <w:t>Prestadores de Serviços Essenciais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Gestor de Recursos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INVESTIMENTOS LTDA.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Gestor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04.714.159/0001-29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Administrador Fiduciário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SITA SOCIEDADE CORRETORA DE CÂMBIO E VALORES MOBILIARIOS S.A.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Administrador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17.315.359/0001-50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Características da Classe/Subclasse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500" w:type="pct"/>
            <w:gridSpan w:val="8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Fundo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VALOR FUNDO DE INVESTIMENTO FINANCEIRO EM AÇÕES RESPONSABILIDADE LIMITADA</w:t>
            </w:r>
          </w:p>
        </w:tc>
        <w:tc>
          <w:tcPr>
            <w:tcW w:w="2500" w:type="pct"/>
            <w:gridSpan w:val="7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03.287.127/0001-21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875" w:type="pct"/>
            <w:gridSpan w:val="5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Público Alvo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Investidores em Geral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Categoria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FIF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Tipo de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CNPJ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Nome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Subclasse?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2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Possui Cogestão?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3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Condições de Investimento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Taxa Global composta por: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Taxa de Administração</w:t>
              <w:br/>
              <w:t>Taxa de Gestão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  da Taxa Global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Percentual do PL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%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2,0000%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Observação da 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Taxa de Performance?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Sim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Índice de Referência (Benchmark)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IBOVESPA</w:t>
            </w:r>
          </w:p>
        </w:tc>
        <w:tc>
          <w:tcPr>
            <w:tcW w:w="1875" w:type="pct"/>
            <w:gridSpan w:val="5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Descrição da Taxa de Performance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20% do que exceder 100% do Ibovespa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Investimento Inicial Mínimo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R$ 10.000,00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Movimentação Mínima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Saldo Mínimo de Permanência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R$ 1.000,00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da Aplicação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D0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Pagamento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D3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Cobra Taxa de Saída?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5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Carência para Resgate?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833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uso de Side Pocket?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Aplicação ou Resgate em Ativos?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Barreira aos Resgates?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0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120" w:after="1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Side Pocket: cisão da parcela excepcionalmente ilíquida dos ativos da classe</w:t>
                  </w:r>
                </w:p>
              </w:tc>
            </w:tr>
          </w:tbl>
          <w:p/>
        </w:tc>
        <w:tc>
          <w:tcPr>
            <w:tcW w:w="3750" w:type="pct"/>
            <w:gridSpan w:val="13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  <w:lang w:val="pt-BR" w:eastAsia="pt-BR"/>
                    </w:rPr>
                    <w:t>1 - O conteúdo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este "Sumário de Remuneração dos Prestadores de Serviços"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reflete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as informações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mais atualizad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Eventuais alterações e novos acordos comerciais estabelecidos serão refletidos neste documento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minimamente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até o 5º (quinto) dia útil do mês subsequente a sua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celebração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Para mais informações sobre o produto, leia o regulamento, anexo ou apêndice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do fundo.</w:t>
                  </w:r>
                  <w:r>
                    <w:rPr>
                      <w:i/>
                      <w:iCs/>
                      <w:rtl w:val="0"/>
                    </w:rPr>
                    <w:t> 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0"/>
        <w:gridCol w:w="46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</w:pPr>
                  <w:r>
                    <w:rPr>
                      <w:b/>
                      <w:bCs/>
                      <w:rtl w:val="0"/>
                    </w:rPr>
                    <w:t>Taxa de Administração Fiduciária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Valor Mínimo</w:t>
              <w:br/>
              <w:t>Percentual do PL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708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Valor Mínimo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R$ 2.000,00</w:t>
            </w:r>
          </w:p>
        </w:tc>
        <w:tc>
          <w:tcPr>
            <w:tcW w:w="2292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pagamento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708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Percentual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0,0600%</w:t>
            </w:r>
          </w:p>
        </w:tc>
        <w:tc>
          <w:tcPr>
            <w:tcW w:w="2292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pagamento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520"/>
        <w:gridCol w:w="2520"/>
        <w:gridCol w:w="25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Lista de Distribuidores Contratados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Heading3"/>
                    <w:spacing w:before="120"/>
                    <w:jc w:val="left"/>
                  </w:pPr>
                  <w:r>
                    <w:t>Sem título</w:t>
                  </w:r>
                </w:p>
                <w:tbl>
                  <w:tblPr>
                    <w:tblStyle w:val="HeaderRowTable"/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20"/>
                  </w:tblPr>
                  <w:tblGrid>
                    <w:gridCol w:w="4968"/>
                    <w:gridCol w:w="4968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CNPJ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Distribuidor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17.315.359/0001-50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SITA SOCIEDADE CORRETORA DE CÂMBIO E VALORES MOBILIARIOS S.A.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Acordos Comerciais Entre o Gestor e os Distribuidores</w:t>
            </w:r>
          </w:p>
          <w:tbl>
            <w:tblPr>
              <w:tblStyle w:val="NestedTable1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00"/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00"/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>
                  <w:pPr>
                    <w:pStyle w:val="Heading4"/>
                    <w:spacing w:before="120"/>
                    <w:jc w:val="left"/>
                  </w:pPr>
                  <w:r>
                    <w:t>Acordo Comercial</w:t>
                  </w:r>
                  <w: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 w:val="0"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000000"/>
                      <w:spacing w:val="0"/>
                      <w:w w:val="100"/>
                      <w:kern w:val="0"/>
                      <w:position w:val="0"/>
                      <w:sz w:val="27"/>
                      <w:szCs w:val="22"/>
                      <w:highlight w:val="none"/>
                      <w:u w:val="none" w:color="auto"/>
                      <w:effect w:val="none"/>
                      <w:bdr w:val="nil"/>
                      <w:shd w:val="clear" w:color="auto" w:fill="auto"/>
                      <w:rtl w:val="0"/>
                      <w:cs w:val="0"/>
                      <w:lang w:val="en-US" w:eastAsia="en-US" w:bidi="ar-SA"/>
                    </w:rPr>
                    <w:t>1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64"/>
                    <w:gridCol w:w="3264"/>
                    <w:gridCol w:w="3264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Forma de Remuneração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  <w:p>
                        <w:pPr>
                          <w:spacing w:before="0" w:after="0" w:line="120" w:lineRule="auto"/>
                          <w:jc w:val="left"/>
                        </w:pP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1667" w:type="pct"/>
                        <w:tcMar>
                          <w:top w:w="0" w:type="dxa"/>
                          <w:left w:w="0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Distribuidor Recebe Parcela da Taxa de Performance?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Não</w:t>
                        </w:r>
                      </w:p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58" w:type="dxa"/>
                        </w:tcMar>
                      </w:tcPr>
                      <w:p/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0" w:type="dxa"/>
                        </w:tcMar>
                      </w:tcPr>
                      <w:p/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Receitas Recebidas Pelo Distribuidor Pagas Diretamente Pelos Essenciais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Condições Complentares Sobre a Forma de Remuneração do Distribuidor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Observações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Obrigatório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impacto@impactoinvestimentos.com.br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p/>
    <w:sect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E4"/>
    <w:pPr>
      <w:keepNext w:val="0"/>
      <w:keepLines w:val="0"/>
      <w:spacing w:before="0" w:after="120" w:line="240" w:lineRule="auto"/>
      <w:jc w:val="left"/>
    </w:pPr>
    <w:rPr>
      <w:rFonts w:ascii="Arial" w:eastAsia="Arial" w:hAnsi="Arial" w:cs="Arial"/>
      <w:b w:val="0"/>
      <w:i w:val="0"/>
      <w:color w:val="000000"/>
      <w:sz w:val="21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Next w:val="0"/>
      <w:keepLines/>
      <w:spacing w:before="0" w:after="0"/>
      <w:jc w:val="left"/>
      <w:outlineLvl w:val="0"/>
    </w:pPr>
    <w:rPr>
      <w:rFonts w:ascii="Arial" w:eastAsia="Arial" w:hAnsi="Arial" w:eastAsiaTheme="majorEastAsia" w:cs="Arial" w:cstheme="majorBidi"/>
      <w:b/>
      <w:i w:val="0"/>
      <w:color w:val="000000"/>
      <w:sz w:val="42"/>
      <w:szCs w:val="32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Next w:val="0"/>
      <w:keepLines/>
      <w:spacing w:before="0" w:after="0"/>
      <w:jc w:val="left"/>
      <w:outlineLvl w:val="1"/>
    </w:pPr>
    <w:rPr>
      <w:rFonts w:ascii="Arial" w:eastAsia="Arial" w:hAnsi="Arial" w:eastAsiaTheme="majorEastAsia" w:cs="Arial" w:cstheme="majorBidi"/>
      <w:b/>
      <w:i w:val="0"/>
      <w:color w:val="000000"/>
      <w:sz w:val="38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Next w:val="0"/>
      <w:keepLines/>
      <w:spacing w:before="0" w:after="0"/>
      <w:jc w:val="left"/>
      <w:outlineLvl w:val="2"/>
    </w:pPr>
    <w:rPr>
      <w:rFonts w:ascii="Arial" w:eastAsia="Arial" w:hAnsi="Arial" w:eastAsiaTheme="majorEastAsia" w:cs="Arial" w:cstheme="majorBidi"/>
      <w:b/>
      <w:i w:val="0"/>
      <w:color w:val="000000"/>
      <w:sz w:val="32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Next w:val="0"/>
      <w:keepLines/>
      <w:spacing w:before="0" w:after="0"/>
      <w:jc w:val="left"/>
      <w:outlineLvl w:val="3"/>
    </w:pPr>
    <w:rPr>
      <w:rFonts w:ascii="Arial" w:eastAsia="Arial" w:hAnsi="Arial" w:eastAsiaTheme="majorEastAsia" w:cs="Arial" w:cstheme="majorBidi"/>
      <w:b/>
      <w:i w:val="0"/>
      <w:iCs/>
      <w:color w:val="000000"/>
      <w:sz w:val="27"/>
      <w:u w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Next w:val="0"/>
      <w:keepLines/>
      <w:spacing w:before="0" w:after="0"/>
      <w:jc w:val="left"/>
      <w:outlineLvl w:val="4"/>
    </w:pPr>
    <w:rPr>
      <w:rFonts w:ascii="Arial" w:eastAsia="Arial" w:hAnsi="Arial" w:eastAsiaTheme="majorEastAsia" w:cs="Arial" w:cstheme="majorBidi"/>
      <w:b/>
      <w:i w:val="0"/>
      <w:color w:val="000000"/>
      <w:sz w:val="25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Next w:val="0"/>
      <w:keepLines/>
      <w:spacing w:before="0" w:after="0"/>
      <w:jc w:val="left"/>
      <w:outlineLvl w:val="5"/>
    </w:pPr>
    <w:rPr>
      <w:rFonts w:ascii="Arial" w:eastAsia="Arial" w:hAnsi="Arial" w:eastAsiaTheme="majorEastAsia" w:cs="Arial" w:cstheme="majorBidi"/>
      <w:b/>
      <w:i w:val="0"/>
      <w:color w:val="000000"/>
      <w:sz w:val="23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keepNext w:val="0"/>
      <w:keepLines w:val="0"/>
      <w:spacing w:before="0" w:after="0"/>
      <w:contextualSpacing/>
      <w:jc w:val="left"/>
    </w:pPr>
    <w:rPr>
      <w:rFonts w:ascii="Arial" w:eastAsia="Arial" w:hAnsi="Arial" w:eastAsiaTheme="majorEastAsia" w:cs="Arial" w:cstheme="majorBidi"/>
      <w:b/>
      <w:i w:val="0"/>
      <w:color w:val="000000"/>
      <w:spacing w:val="-10"/>
      <w:kern w:val="28"/>
      <w:sz w:val="74"/>
      <w:szCs w:val="56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keepNext w:val="0"/>
      <w:keepLines w:val="0"/>
      <w:spacing w:before="200" w:after="120"/>
      <w:ind w:left="864" w:right="864"/>
      <w:jc w:val="left"/>
    </w:pPr>
    <w:rPr>
      <w:rFonts w:ascii="Arial" w:eastAsia="Arial" w:hAnsi="Arial" w:cs="Arial"/>
      <w:b w:val="0"/>
      <w:i/>
      <w:iCs/>
      <w:color w:val="000000"/>
      <w:sz w:val="21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keepNext w:val="0"/>
      <w:keepLines w:val="0"/>
      <w:spacing w:before="120" w:after="0" w:line="240" w:lineRule="auto"/>
      <w:jc w:val="left"/>
    </w:pPr>
    <w:rPr>
      <w:rFonts w:ascii="Arial" w:eastAsia="Arial" w:hAnsi="Arial" w:cs="Arial"/>
      <w:b/>
      <w:i w:val="0"/>
      <w:color w:val="000000"/>
      <w:sz w:val="21"/>
      <w:u w:val="none"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keepNext w:val="0"/>
      <w:keepLines/>
      <w:spacing w:before="0" w:after="120"/>
      <w:jc w:val="left"/>
    </w:pPr>
    <w:rPr>
      <w:rFonts w:ascii="Arial" w:eastAsia="Arial" w:hAnsi="Arial" w:cs="Arial"/>
      <w:b/>
      <w:i w:val="0"/>
      <w:color w:val="000000"/>
      <w:sz w:val="32"/>
      <w:u w:val="none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F009-3828-483D-B8AE-03CA826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Cognito Forms</cp:lastModifiedBy>
  <cp:revision>28</cp:revision>
  <dcterms:created xsi:type="dcterms:W3CDTF">2024-11-26T11:48:28Z</dcterms:created>
  <dcterms:modified xsi:type="dcterms:W3CDTF">2024-11-26T11:48:28Z</dcterms:modified>
</cp:coreProperties>
</file>